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附件</w:t>
      </w:r>
      <w:r>
        <w:rPr>
          <w:rFonts w:hint="eastAsia" w:eastAsia="黑体" w:cs="Times New Roman"/>
          <w:sz w:val="32"/>
          <w:szCs w:val="40"/>
          <w:lang w:val="en-US" w:eastAsia="zh-CN"/>
        </w:rPr>
        <w:t>2</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z w:val="44"/>
          <w:szCs w:val="44"/>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lang w:val="en-US" w:eastAsia="zh-CN"/>
        </w:rPr>
        <w:t>《川渝两地医疗器械注册质量管理体系核查资料审查指南（征求意见稿）》</w:t>
      </w:r>
      <w:r>
        <w:rPr>
          <w:rFonts w:hint="eastAsia" w:ascii="方正小标宋_GBK" w:eastAsia="方正小标宋_GBK"/>
          <w:sz w:val="44"/>
          <w:szCs w:val="44"/>
        </w:rPr>
        <w:t>起草说明</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一、起草背景</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《医疗器械注册与备案管理办法》（国家市场监督管理总局令第47号）第五十条和《体外诊断试剂注册与备案管理办法》（国家市场监督管理总局令第48号）第四十</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eastAsia="zh-CN"/>
        </w:rPr>
        <w:t>均</w:t>
      </w:r>
      <w:r>
        <w:rPr>
          <w:rFonts w:hint="eastAsia" w:ascii="方正仿宋_GBK" w:hAnsi="方正仿宋_GBK" w:eastAsia="方正仿宋_GBK" w:cs="方正仿宋_GBK"/>
          <w:sz w:val="32"/>
          <w:szCs w:val="32"/>
          <w:lang w:val="en-US" w:eastAsia="zh-CN"/>
        </w:rPr>
        <w:t>规定“</w:t>
      </w:r>
      <w:r>
        <w:rPr>
          <w:rFonts w:hint="eastAsia" w:ascii="方正仿宋_GBK" w:hAnsi="方正仿宋_GBK" w:eastAsia="方正仿宋_GBK" w:cs="方正仿宋_GBK"/>
          <w:sz w:val="32"/>
          <w:szCs w:val="32"/>
        </w:rPr>
        <w:t>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目前上海市药监局已发布《上海市医疗器械注册质量管理体系核查减免现场核查指南（试行）》。</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为统一川渝两地医疗器械注册审查标准，进一步优化川渝两地第二类医疗器械注册质量管理体系核查工作，四川省药监局、重庆市药监局共同制定《川渝两地医疗器械注册质量管理体系核查资料审查指南》（以下简称</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资料审查指南</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color w:val="000000" w:themeColor="text1"/>
          <w:sz w:val="32"/>
          <w:szCs w:val="32"/>
          <w:highlight w:val="none"/>
          <w:u w:val="none"/>
          <w:lang w:val="en-US" w:eastAsia="zh-CN"/>
          <w14:textFill>
            <w14:solidFill>
              <w14:schemeClr w14:val="tx1"/>
            </w14:solidFill>
          </w14:textFill>
        </w:rPr>
        <w:t>）。此项工作是川渝药品监管一体化合作项目之一，并纳入四川省人民政府办公厅、重庆市人民政府办公厅印发的《深化川渝政务服务合作2024年重点工作任务清单》。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Cs/>
          <w:kern w:val="0"/>
          <w:sz w:val="32"/>
          <w:szCs w:val="32"/>
          <w:lang w:eastAsia="zh-CN"/>
        </w:rPr>
      </w:pPr>
      <w:r>
        <w:rPr>
          <w:rFonts w:eastAsia="方正黑体_GBK"/>
          <w:sz w:val="32"/>
          <w:szCs w:val="32"/>
        </w:rPr>
        <w:t>二</w:t>
      </w:r>
      <w:r>
        <w:rPr>
          <w:rFonts w:hint="eastAsia" w:ascii="黑体" w:hAnsi="黑体" w:eastAsia="黑体" w:cs="黑体"/>
          <w:bCs/>
          <w:kern w:val="0"/>
          <w:sz w:val="32"/>
          <w:szCs w:val="32"/>
          <w:lang w:eastAsia="zh-CN"/>
        </w:rPr>
        <w:t>、起草依据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sz w:val="32"/>
          <w:szCs w:val="32"/>
        </w:rPr>
      </w:pPr>
      <w:r>
        <w:rPr>
          <w:rFonts w:hint="eastAsia" w:eastAsia="方正仿宋_GBK" w:cs="仿宋_GB2312"/>
          <w:color w:val="000000" w:themeColor="text1"/>
          <w:sz w:val="32"/>
          <w:szCs w:val="32"/>
          <w:highlight w:val="none"/>
          <w:u w:val="none"/>
          <w:lang w:val="en-US" w:eastAsia="zh-CN"/>
          <w14:textFill>
            <w14:solidFill>
              <w14:schemeClr w14:val="tx1"/>
            </w14:solidFill>
          </w14:textFill>
        </w:rPr>
        <w:t>《医疗器械监督管理条例》</w:t>
      </w:r>
      <w:r>
        <w:rPr>
          <w:rFonts w:hint="eastAsia" w:ascii="Times New Roman" w:hAnsi="Times New Roman" w:eastAsia="方正仿宋_GBK" w:cs="仿宋_GB2312"/>
          <w:color w:val="000000" w:themeColor="text1"/>
          <w:sz w:val="32"/>
          <w:szCs w:val="32"/>
          <w:highlight w:val="none"/>
          <w:u w:val="none"/>
          <w:lang w:val="en-US" w:eastAsia="zh-CN"/>
          <w14:textFill>
            <w14:solidFill>
              <w14:schemeClr w14:val="tx1"/>
            </w14:solidFill>
          </w14:textFill>
        </w:rPr>
        <w:t>《医疗器械注册与备案管理办法》《体外诊断试剂注册与备案管理办法》《医疗器械注册质量管理体系核查指南》《医疗器械注册自检管理规定》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eastAsia="方正黑体_GBK"/>
          <w:sz w:val="32"/>
          <w:szCs w:val="32"/>
          <w:lang w:eastAsia="zh-CN"/>
        </w:rPr>
      </w:pPr>
      <w:r>
        <w:rPr>
          <w:rFonts w:eastAsia="方正黑体_GBK"/>
          <w:sz w:val="32"/>
          <w:szCs w:val="32"/>
        </w:rPr>
        <w:t>主要内容</w:t>
      </w:r>
      <w:r>
        <w:rPr>
          <w:rFonts w:hint="eastAsia" w:eastAsia="方正黑体_GBK"/>
          <w:sz w:val="32"/>
          <w:szCs w:val="32"/>
          <w:lang w:eastAsia="zh-CN"/>
        </w:rPr>
        <w:t>及说明</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530" w:leftChars="0" w:firstLine="0" w:firstLine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主要内容</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《资料审查指南》主要包括目的和依据、适用范围、适用原则、实施要求及重点关注</w:t>
      </w:r>
      <w:r>
        <w:rPr>
          <w:rFonts w:hint="eastAsia" w:ascii="Times New Roman" w:hAnsi="Times New Roman" w:eastAsia="方正仿宋_GBK" w:cs="Times New Roman"/>
          <w:sz w:val="32"/>
          <w:szCs w:val="32"/>
          <w:lang w:val="en-US" w:eastAsia="zh-CN"/>
        </w:rPr>
        <w:t>内容、审查结果5个部分</w:t>
      </w:r>
      <w:r>
        <w:rPr>
          <w:rFonts w:hint="eastAsia" w:ascii="方正仿宋_GBK" w:hAnsi="方正仿宋_GBK" w:eastAsia="方正仿宋_GBK" w:cs="方正仿宋_GBK"/>
          <w:sz w:val="32"/>
          <w:szCs w:val="32"/>
          <w:lang w:val="en-US" w:eastAsia="zh-CN"/>
        </w:rPr>
        <w:t>以及附件“申报产品与既往已通过注册核查产品对比说明”</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一是目的和依据部分。明确了《资料审查指南》制定的背景、目的和依据等。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二是适用范围部分。明确了《资料审查指南》适用于川渝两地医疗器械审评查验机构通过资料审查方式组织开展的第二类医疗器械注册质量管理体系核查。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三是适用原则部分。主要从资料审查的开展程序方面规定了以资料审查方式组织开展第二类医疗器械注册质量管理体系核查应遵循的基本原则。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四是实施要求及重点关注内容部分。规定了资料审查的实施要求和采用资料审查方式开展核查的应重点关注内容、要求及方式等内容。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五是审查结果部分。明确了实施资料审查的审查结论类型及评议方式等内容。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六是附件部分。附件《申报产品与既往已通过注册核查产品对比说明》对注册申请人提供“申报产品与已通过注册核查的同类产品在生产质量管理体系上的变化情况”的资料要求和有关说明进行了详细规定。</w:t>
      </w:r>
    </w:p>
    <w:p>
      <w:pPr>
        <w:pStyle w:val="2"/>
        <w:keepNext w:val="0"/>
        <w:keepLines w:val="0"/>
        <w:pageBreakBefore w:val="0"/>
        <w:widowControl w:val="0"/>
        <w:numPr>
          <w:ilvl w:val="0"/>
          <w:numId w:val="2"/>
        </w:numPr>
        <w:kinsoku/>
        <w:wordWrap/>
        <w:overflowPunct/>
        <w:topLinePunct w:val="0"/>
        <w:autoSpaceDE/>
        <w:autoSpaceDN/>
        <w:bidi w:val="0"/>
        <w:adjustRightInd/>
        <w:spacing w:line="560" w:lineRule="exact"/>
        <w:ind w:left="530" w:leftChars="0" w:firstLine="0" w:firstLine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有关说明</w:t>
      </w:r>
    </w:p>
    <w:p>
      <w:pPr>
        <w:pStyle w:val="3"/>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一是明确了资料审查的适用条件。《医疗器械注册与备案管理办法》</w:t>
      </w:r>
      <w:r>
        <w:rPr>
          <w:rFonts w:hint="eastAsia" w:ascii="方正仿宋_GBK" w:hAnsi="方正仿宋_GBK" w:eastAsia="方正仿宋_GBK" w:cs="方正仿宋_GBK"/>
          <w:sz w:val="32"/>
          <w:szCs w:val="32"/>
          <w:lang w:val="en-US" w:eastAsia="zh-CN"/>
        </w:rPr>
        <w:t>《体外诊断试剂注册与备案管理办法》</w:t>
      </w:r>
      <w:r>
        <w:rPr>
          <w:rFonts w:hint="eastAsia" w:ascii="Times New Roman" w:hAnsi="Times New Roman" w:eastAsia="方正仿宋_GBK" w:cs="Times New Roman"/>
          <w:kern w:val="2"/>
          <w:sz w:val="32"/>
          <w:szCs w:val="32"/>
          <w:lang w:val="en-US" w:eastAsia="zh-CN" w:bidi="ar-SA"/>
        </w:rPr>
        <w:t>规定“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资料</w:t>
      </w:r>
      <w:r>
        <w:rPr>
          <w:rFonts w:hint="eastAsia" w:eastAsia="方正仿宋_GBK" w:cs="Times New Roman"/>
          <w:kern w:val="2"/>
          <w:sz w:val="32"/>
          <w:szCs w:val="32"/>
          <w:lang w:val="en-US" w:eastAsia="zh-CN" w:bidi="ar-SA"/>
        </w:rPr>
        <w:t>审查</w:t>
      </w:r>
      <w:r>
        <w:rPr>
          <w:rFonts w:hint="eastAsia" w:ascii="Times New Roman" w:hAnsi="Times New Roman" w:eastAsia="方正仿宋_GBK" w:cs="Times New Roman"/>
          <w:kern w:val="2"/>
          <w:sz w:val="32"/>
          <w:szCs w:val="32"/>
          <w:lang w:val="en-US" w:eastAsia="zh-CN" w:bidi="ar-SA"/>
        </w:rPr>
        <w:t>指南》对此进行了细化和明确，规定了可以仅通过资料审查方式开展体系核查的具体条件。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二是明确了审查结论的类型和运用。对于查实注册申请人存在隐瞒真实情况、提供虚假资料等情形，明确规定除依法依规进行处理外，川渝两地医疗器械审评查验机构两年内不予减免现场检查。</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0795"/>
    <w:multiLevelType w:val="singleLevel"/>
    <w:tmpl w:val="9EBC0795"/>
    <w:lvl w:ilvl="0" w:tentative="0">
      <w:start w:val="1"/>
      <w:numFmt w:val="chineseCounting"/>
      <w:suff w:val="nothing"/>
      <w:lvlText w:val="（%1）"/>
      <w:lvlJc w:val="left"/>
      <w:pPr>
        <w:ind w:left="530" w:leftChars="0" w:firstLine="0" w:firstLineChars="0"/>
      </w:pPr>
      <w:rPr>
        <w:rFonts w:hint="eastAsia"/>
      </w:rPr>
    </w:lvl>
  </w:abstractNum>
  <w:abstractNum w:abstractNumId="1">
    <w:nsid w:val="74DF47BF"/>
    <w:multiLevelType w:val="singleLevel"/>
    <w:tmpl w:val="74DF47B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NzJhZGRlZTgyZWRjMWUxMjdhYTkyNWQyNDcyZmQifQ=="/>
  </w:docVars>
  <w:rsids>
    <w:rsidRoot w:val="00000000"/>
    <w:rsid w:val="05725393"/>
    <w:rsid w:val="05DF1897"/>
    <w:rsid w:val="09C7243F"/>
    <w:rsid w:val="0C585419"/>
    <w:rsid w:val="0EEF3211"/>
    <w:rsid w:val="0FE268D2"/>
    <w:rsid w:val="10A548EC"/>
    <w:rsid w:val="14E37374"/>
    <w:rsid w:val="17BD20FF"/>
    <w:rsid w:val="21CF315A"/>
    <w:rsid w:val="23072480"/>
    <w:rsid w:val="23BF0FAD"/>
    <w:rsid w:val="24294DA7"/>
    <w:rsid w:val="27975018"/>
    <w:rsid w:val="28DE125D"/>
    <w:rsid w:val="292C2C40"/>
    <w:rsid w:val="2D681F9D"/>
    <w:rsid w:val="2EE00B92"/>
    <w:rsid w:val="353F3CFB"/>
    <w:rsid w:val="38E726E0"/>
    <w:rsid w:val="3C6E4EC6"/>
    <w:rsid w:val="3DFD1020"/>
    <w:rsid w:val="3E170C82"/>
    <w:rsid w:val="410A7952"/>
    <w:rsid w:val="424052D8"/>
    <w:rsid w:val="46AB68FC"/>
    <w:rsid w:val="4A8561FD"/>
    <w:rsid w:val="4B2E2169"/>
    <w:rsid w:val="4BB70638"/>
    <w:rsid w:val="51B64EEE"/>
    <w:rsid w:val="533D58C6"/>
    <w:rsid w:val="541F321E"/>
    <w:rsid w:val="55780E38"/>
    <w:rsid w:val="55C961F6"/>
    <w:rsid w:val="578A2ADE"/>
    <w:rsid w:val="57C945D3"/>
    <w:rsid w:val="58A14202"/>
    <w:rsid w:val="60CF38D6"/>
    <w:rsid w:val="6A0A6D98"/>
    <w:rsid w:val="6E0B3116"/>
    <w:rsid w:val="6FD24C25"/>
    <w:rsid w:val="7B7D7DF6"/>
    <w:rsid w:val="7ED625A7"/>
    <w:rsid w:val="BD7F9D42"/>
    <w:rsid w:val="BFFEE222"/>
    <w:rsid w:val="DBF62980"/>
    <w:rsid w:val="F4BF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unhideWhenUsed/>
    <w:qFormat/>
    <w:uiPriority w:val="99"/>
    <w:pPr>
      <w:ind w:left="25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1609</Characters>
  <Lines>0</Lines>
  <Paragraphs>0</Paragraphs>
  <TotalTime>4</TotalTime>
  <ScaleCrop>false</ScaleCrop>
  <LinksUpToDate>false</LinksUpToDate>
  <CharactersWithSpaces>1609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2024-07-13T14:31:00Z</dcterms:created>
  <dc:creator>Administrator</dc:creator>
  <cp:lastModifiedBy>zhengxi</cp:lastModifiedBy>
  <dcterms:modified xsi:type="dcterms:W3CDTF">2024-07-19T09:09:38Z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1AA622E132B647BC881D950BCFEA513B_12</vt:lpwstr>
  </property>
</Properties>
</file>